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BA" w:rsidRPr="008124BA" w:rsidRDefault="008124BA" w:rsidP="008124BA">
      <w:pPr>
        <w:spacing w:before="100" w:beforeAutospacing="1" w:after="100" w:afterAutospacing="1" w:line="240" w:lineRule="auto"/>
        <w:contextualSpacing/>
        <w:jc w:val="center"/>
        <w:rPr>
          <w:rFonts w:ascii="Berlin Sans FB" w:hAnsi="Berlin Sans FB" w:cs="Andalus"/>
          <w:sz w:val="20"/>
        </w:rPr>
      </w:pPr>
      <w:bookmarkStart w:id="0" w:name="_GoBack"/>
      <w:bookmarkEnd w:id="0"/>
      <w:r w:rsidRPr="008124BA">
        <w:rPr>
          <w:rFonts w:ascii="Berlin Sans FB" w:hAnsi="Berlin Sans FB" w:cs="Andalus"/>
          <w:sz w:val="20"/>
        </w:rPr>
        <w:t>Conventional &amp; Artificial Bidding</w:t>
      </w:r>
    </w:p>
    <w:p w:rsidR="008124BA" w:rsidRPr="008124BA" w:rsidRDefault="008124BA" w:rsidP="008124BA">
      <w:pPr>
        <w:pStyle w:val="ListBullet"/>
        <w:numPr>
          <w:ilvl w:val="0"/>
          <w:numId w:val="0"/>
        </w:numPr>
        <w:spacing w:before="100" w:beforeAutospacing="1" w:after="100" w:afterAutospacing="1" w:line="240" w:lineRule="auto"/>
        <w:ind w:left="360"/>
        <w:jc w:val="center"/>
        <w:rPr>
          <w:rFonts w:ascii="Berlin Sans FB" w:hAnsi="Berlin Sans FB" w:cs="Andalus"/>
          <w:sz w:val="20"/>
        </w:rPr>
      </w:pPr>
      <w:r w:rsidRPr="008124BA">
        <w:rPr>
          <w:rFonts w:ascii="Berlin Sans FB" w:hAnsi="Berlin Sans FB" w:cs="Andalus"/>
          <w:sz w:val="20"/>
        </w:rPr>
        <w:t>Advantages, Abuses, Applications Part 1</w:t>
      </w:r>
    </w:p>
    <w:p w:rsidR="008124BA" w:rsidRPr="008124BA" w:rsidRDefault="008124BA" w:rsidP="008124BA">
      <w:pPr>
        <w:pStyle w:val="ListBullet"/>
        <w:numPr>
          <w:ilvl w:val="0"/>
          <w:numId w:val="0"/>
        </w:numPr>
        <w:spacing w:before="100" w:beforeAutospacing="1" w:after="100" w:afterAutospacing="1" w:line="240" w:lineRule="auto"/>
        <w:ind w:left="360"/>
        <w:rPr>
          <w:rFonts w:ascii="Berlin Sans FB" w:hAnsi="Berlin Sans FB" w:cs="Andalus"/>
          <w:sz w:val="20"/>
        </w:rPr>
      </w:pP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r w:rsidRPr="008124BA">
        <w:rPr>
          <w:rFonts w:ascii="Berlin Sans FB" w:hAnsi="Berlin Sans FB" w:cs="Andalus"/>
          <w:sz w:val="20"/>
        </w:rPr>
        <w:t xml:space="preserve">It seems appropriate enough to introduce a controversial issue with a few hands. </w:t>
      </w: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noProof/>
          <w:sz w:val="20"/>
        </w:rPr>
      </w:pP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r w:rsidRPr="008124BA">
        <w:rPr>
          <w:rFonts w:ascii="Berlin Sans FB" w:hAnsi="Berlin Sans FB" w:cs="Andalus"/>
          <w:noProof/>
          <w:sz w:val="20"/>
        </w:rPr>
        <w:drawing>
          <wp:inline distT="0" distB="0" distL="0" distR="0" wp14:anchorId="2974BB85" wp14:editId="7E4A9369">
            <wp:extent cx="301012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8975" t="19373" r="36666" b="41197"/>
                    <a:stretch/>
                  </pic:blipFill>
                  <pic:spPr bwMode="auto">
                    <a:xfrm>
                      <a:off x="0" y="0"/>
                      <a:ext cx="3010120" cy="1943100"/>
                    </a:xfrm>
                    <a:prstGeom prst="rect">
                      <a:avLst/>
                    </a:prstGeom>
                    <a:ln>
                      <a:noFill/>
                    </a:ln>
                    <a:extLst>
                      <a:ext uri="{53640926-AAD7-44D8-BBD7-CCE9431645EC}">
                        <a14:shadowObscured xmlns:a14="http://schemas.microsoft.com/office/drawing/2010/main"/>
                      </a:ext>
                    </a:extLst>
                  </pic:spPr>
                </pic:pic>
              </a:graphicData>
            </a:graphic>
          </wp:inline>
        </w:drawing>
      </w: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r w:rsidRPr="008124BA">
        <w:rPr>
          <w:rFonts w:ascii="Berlin Sans FB" w:hAnsi="Berlin Sans FB" w:cs="Andalus"/>
          <w:sz w:val="20"/>
        </w:rPr>
        <w:t>The 2NT opening is 0-10, 5+</w:t>
      </w:r>
      <w:r w:rsidRPr="008124BA">
        <w:rPr>
          <w:rFonts w:ascii="Arial" w:hAnsi="Arial" w:cs="Arial"/>
          <w:sz w:val="20"/>
        </w:rPr>
        <w:t>♣</w:t>
      </w:r>
      <w:r w:rsidRPr="008124BA">
        <w:rPr>
          <w:rFonts w:ascii="Berlin Sans FB" w:hAnsi="Berlin Sans FB" w:cs="Andalus"/>
          <w:sz w:val="20"/>
        </w:rPr>
        <w:t xml:space="preserve"> 5+</w:t>
      </w:r>
      <w:r w:rsidRPr="008124BA">
        <w:rPr>
          <w:rFonts w:ascii="Arial" w:hAnsi="Arial" w:cs="Arial"/>
          <w:sz w:val="20"/>
        </w:rPr>
        <w:t>♦</w:t>
      </w:r>
      <w:r w:rsidRPr="008124BA">
        <w:rPr>
          <w:rFonts w:ascii="Berlin Sans FB" w:hAnsi="Berlin Sans FB" w:cs="Andalus"/>
          <w:sz w:val="20"/>
        </w:rPr>
        <w:t>. On this layout, 5</w:t>
      </w:r>
      <w:r w:rsidRPr="008124BA">
        <w:rPr>
          <w:rFonts w:ascii="Arial" w:hAnsi="Arial" w:cs="Arial"/>
          <w:sz w:val="20"/>
        </w:rPr>
        <w:t>♦</w:t>
      </w:r>
      <w:r w:rsidRPr="008124BA">
        <w:rPr>
          <w:rFonts w:ascii="Berlin Sans FB" w:hAnsi="Berlin Sans FB" w:cs="Andalus"/>
          <w:sz w:val="20"/>
        </w:rPr>
        <w:t xml:space="preserve"> is a laydown</w:t>
      </w: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r w:rsidRPr="008124BA">
        <w:rPr>
          <w:rFonts w:ascii="Berlin Sans FB" w:hAnsi="Berlin Sans FB" w:cs="Andalus"/>
          <w:sz w:val="20"/>
        </w:rPr>
        <w:t xml:space="preserve">At the other table </w:t>
      </w: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noProof/>
          <w:sz w:val="20"/>
        </w:rPr>
      </w:pP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r w:rsidRPr="008124BA">
        <w:rPr>
          <w:rFonts w:ascii="Berlin Sans FB" w:hAnsi="Berlin Sans FB" w:cs="Andalus"/>
          <w:noProof/>
          <w:sz w:val="20"/>
        </w:rPr>
        <w:drawing>
          <wp:inline distT="0" distB="0" distL="0" distR="0" wp14:anchorId="0E0628E5" wp14:editId="1D5B9583">
            <wp:extent cx="4029505" cy="25755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8846" t="19373" r="33846" b="38234"/>
                    <a:stretch/>
                  </pic:blipFill>
                  <pic:spPr bwMode="auto">
                    <a:xfrm>
                      <a:off x="0" y="0"/>
                      <a:ext cx="4029505" cy="2575560"/>
                    </a:xfrm>
                    <a:prstGeom prst="rect">
                      <a:avLst/>
                    </a:prstGeom>
                    <a:ln>
                      <a:noFill/>
                    </a:ln>
                    <a:extLst>
                      <a:ext uri="{53640926-AAD7-44D8-BBD7-CCE9431645EC}">
                        <a14:shadowObscured xmlns:a14="http://schemas.microsoft.com/office/drawing/2010/main"/>
                      </a:ext>
                    </a:extLst>
                  </pic:spPr>
                </pic:pic>
              </a:graphicData>
            </a:graphic>
          </wp:inline>
        </w:drawing>
      </w: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r w:rsidRPr="008124BA">
        <w:rPr>
          <w:rFonts w:ascii="Arial" w:hAnsi="Arial" w:cs="Arial"/>
          <w:sz w:val="20"/>
        </w:rPr>
        <w:t>♦</w:t>
      </w:r>
      <w:r w:rsidRPr="008124BA">
        <w:rPr>
          <w:rFonts w:ascii="Berlin Sans FB" w:hAnsi="Berlin Sans FB" w:cs="Andalus"/>
          <w:sz w:val="20"/>
        </w:rPr>
        <w:t xml:space="preserve">s were never introduced. E/W </w:t>
      </w:r>
      <w:proofErr w:type="gramStart"/>
      <w:r w:rsidRPr="008124BA">
        <w:rPr>
          <w:rFonts w:ascii="Berlin Sans FB" w:hAnsi="Berlin Sans FB" w:cs="Andalus"/>
          <w:sz w:val="20"/>
        </w:rPr>
        <w:t>are</w:t>
      </w:r>
      <w:proofErr w:type="gramEnd"/>
      <w:r w:rsidRPr="008124BA">
        <w:rPr>
          <w:rFonts w:ascii="Berlin Sans FB" w:hAnsi="Berlin Sans FB" w:cs="Andalus"/>
          <w:sz w:val="20"/>
        </w:rPr>
        <w:t xml:space="preserve"> down in 4</w:t>
      </w:r>
      <w:r w:rsidRPr="008124BA">
        <w:rPr>
          <w:rFonts w:ascii="Arial" w:hAnsi="Arial" w:cs="Arial"/>
          <w:sz w:val="20"/>
        </w:rPr>
        <w:t>♥</w:t>
      </w:r>
      <w:r w:rsidRPr="008124BA">
        <w:rPr>
          <w:rFonts w:ascii="Berlin Sans FB" w:hAnsi="Berlin Sans FB" w:cs="Andalus"/>
          <w:sz w:val="20"/>
        </w:rPr>
        <w:t xml:space="preserve"> with routine defense. </w:t>
      </w: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r w:rsidRPr="008124BA">
        <w:rPr>
          <w:rFonts w:ascii="Berlin Sans FB" w:hAnsi="Berlin Sans FB" w:cs="Andalus"/>
          <w:sz w:val="20"/>
        </w:rPr>
        <w:t>On the next hand</w:t>
      </w: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noProof/>
          <w:sz w:val="20"/>
        </w:rPr>
      </w:pP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r w:rsidRPr="008124BA">
        <w:rPr>
          <w:rFonts w:ascii="Berlin Sans FB" w:hAnsi="Berlin Sans FB" w:cs="Andalus"/>
          <w:noProof/>
          <w:sz w:val="20"/>
        </w:rPr>
        <w:lastRenderedPageBreak/>
        <w:drawing>
          <wp:inline distT="0" distB="0" distL="0" distR="0" wp14:anchorId="5D837E88" wp14:editId="189A0D3D">
            <wp:extent cx="3203572" cy="21869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9231" t="19829" r="36025" b="38006"/>
                    <a:stretch/>
                  </pic:blipFill>
                  <pic:spPr bwMode="auto">
                    <a:xfrm>
                      <a:off x="0" y="0"/>
                      <a:ext cx="3203572" cy="2186940"/>
                    </a:xfrm>
                    <a:prstGeom prst="rect">
                      <a:avLst/>
                    </a:prstGeom>
                    <a:ln>
                      <a:noFill/>
                    </a:ln>
                    <a:extLst>
                      <a:ext uri="{53640926-AAD7-44D8-BBD7-CCE9431645EC}">
                        <a14:shadowObscured xmlns:a14="http://schemas.microsoft.com/office/drawing/2010/main"/>
                      </a:ext>
                    </a:extLst>
                  </pic:spPr>
                </pic:pic>
              </a:graphicData>
            </a:graphic>
          </wp:inline>
        </w:drawing>
      </w: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r w:rsidRPr="008124BA">
        <w:rPr>
          <w:rFonts w:ascii="Berlin Sans FB" w:hAnsi="Berlin Sans FB" w:cs="Andalus"/>
          <w:sz w:val="20"/>
        </w:rPr>
        <w:t xml:space="preserve">The weak </w:t>
      </w:r>
      <w:r>
        <w:rPr>
          <w:rFonts w:ascii="Berlin Sans FB" w:hAnsi="Berlin Sans FB" w:cs="Andalus"/>
          <w:sz w:val="20"/>
        </w:rPr>
        <w:t>NT</w:t>
      </w:r>
      <w:r w:rsidRPr="008124BA">
        <w:rPr>
          <w:rFonts w:ascii="Berlin Sans FB" w:hAnsi="Berlin Sans FB" w:cs="Andalus"/>
          <w:sz w:val="20"/>
        </w:rPr>
        <w:t xml:space="preserve"> allows N/S a sacrifice against E/W</w:t>
      </w:r>
      <w:r>
        <w:rPr>
          <w:rFonts w:ascii="Berlin Sans FB" w:hAnsi="Berlin Sans FB" w:cs="Andalus"/>
          <w:sz w:val="20"/>
        </w:rPr>
        <w:t>’s optimal</w:t>
      </w:r>
      <w:r w:rsidRPr="008124BA">
        <w:rPr>
          <w:rFonts w:ascii="Berlin Sans FB" w:hAnsi="Berlin Sans FB" w:cs="Andalus"/>
          <w:sz w:val="20"/>
        </w:rPr>
        <w:t xml:space="preserve"> +120. </w:t>
      </w: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r w:rsidRPr="008124BA">
        <w:rPr>
          <w:rFonts w:ascii="Berlin Sans FB" w:hAnsi="Berlin Sans FB" w:cs="Andalus"/>
          <w:sz w:val="20"/>
        </w:rPr>
        <w:t>And finally</w:t>
      </w: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r w:rsidRPr="008124BA">
        <w:rPr>
          <w:rFonts w:ascii="Berlin Sans FB" w:hAnsi="Berlin Sans FB" w:cs="Andalus"/>
          <w:noProof/>
          <w:sz w:val="20"/>
        </w:rPr>
        <w:drawing>
          <wp:inline distT="0" distB="0" distL="0" distR="0" wp14:anchorId="68FA8ADD" wp14:editId="6EAE38D8">
            <wp:extent cx="3284220" cy="3677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8974" t="19602" r="36795" b="12250"/>
                    <a:stretch/>
                  </pic:blipFill>
                  <pic:spPr bwMode="auto">
                    <a:xfrm>
                      <a:off x="0" y="0"/>
                      <a:ext cx="3286169" cy="3680018"/>
                    </a:xfrm>
                    <a:prstGeom prst="rect">
                      <a:avLst/>
                    </a:prstGeom>
                    <a:ln>
                      <a:noFill/>
                    </a:ln>
                    <a:extLst>
                      <a:ext uri="{53640926-AAD7-44D8-BBD7-CCE9431645EC}">
                        <a14:shadowObscured xmlns:a14="http://schemas.microsoft.com/office/drawing/2010/main"/>
                      </a:ext>
                    </a:extLst>
                  </pic:spPr>
                </pic:pic>
              </a:graphicData>
            </a:graphic>
          </wp:inline>
        </w:drawing>
      </w: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noProof/>
          <w:sz w:val="20"/>
        </w:rPr>
      </w:pP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r w:rsidRPr="008124BA">
        <w:rPr>
          <w:rFonts w:ascii="Berlin Sans FB" w:hAnsi="Berlin Sans FB" w:cs="Andalus"/>
          <w:sz w:val="20"/>
        </w:rPr>
        <w:t xml:space="preserve">The extensive relays opposite the limited opener allow a slam to be bid confidently. </w:t>
      </w: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r w:rsidRPr="008124BA">
        <w:rPr>
          <w:rFonts w:ascii="Berlin Sans FB" w:hAnsi="Berlin Sans FB" w:cs="Andalus"/>
          <w:sz w:val="20"/>
        </w:rPr>
        <w:t>There are surely thousands of other hands that could be examined, but it is clear that bidding to correct contracts requires, in some form or another, conventional and artificial bids.</w:t>
      </w:r>
      <w:r w:rsidRPr="008124BA">
        <w:rPr>
          <w:rFonts w:ascii="Berlin Sans FB" w:hAnsi="Berlin Sans FB" w:cs="Andalus"/>
          <w:sz w:val="20"/>
        </w:rPr>
        <w:br/>
        <w:t xml:space="preserve"> </w:t>
      </w: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r w:rsidRPr="008124BA">
        <w:rPr>
          <w:rFonts w:ascii="Berlin Sans FB" w:hAnsi="Berlin Sans FB" w:cs="Andalus"/>
          <w:sz w:val="20"/>
        </w:rPr>
        <w:lastRenderedPageBreak/>
        <w:t xml:space="preserve">Wait... conventional and artificial? If you thought those terms were synonymous, they are not. As per the Encyclopedia of Bridge: </w:t>
      </w: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r w:rsidRPr="008124BA">
        <w:rPr>
          <w:rFonts w:ascii="Berlin Sans FB" w:hAnsi="Berlin Sans FB" w:cs="Andalus"/>
          <w:b/>
          <w:sz w:val="20"/>
        </w:rPr>
        <w:t>Conventional:</w:t>
      </w:r>
      <w:r w:rsidRPr="008124BA">
        <w:rPr>
          <w:rFonts w:ascii="Berlin Sans FB" w:hAnsi="Berlin Sans FB" w:cs="Andalus"/>
          <w:sz w:val="20"/>
        </w:rPr>
        <w:t xml:space="preserve"> A call given a specific agreement</w:t>
      </w: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r w:rsidRPr="008124BA">
        <w:rPr>
          <w:rFonts w:ascii="Berlin Sans FB" w:hAnsi="Berlin Sans FB" w:cs="Andalus"/>
          <w:b/>
          <w:sz w:val="20"/>
        </w:rPr>
        <w:t>Artificial</w:t>
      </w:r>
      <w:r w:rsidRPr="008124BA">
        <w:rPr>
          <w:rFonts w:ascii="Berlin Sans FB" w:hAnsi="Berlin Sans FB" w:cs="Andalus"/>
          <w:sz w:val="20"/>
        </w:rPr>
        <w:t>: A call whose definition is unrelated to the strain of the call</w:t>
      </w: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r w:rsidRPr="008124BA">
        <w:rPr>
          <w:rFonts w:ascii="Berlin Sans FB" w:hAnsi="Berlin Sans FB" w:cs="Andalus"/>
          <w:sz w:val="20"/>
        </w:rPr>
        <w:t xml:space="preserve">The need for conventional calls is obvious. Without any sort of definition, bidding is meaningless. Information cannot be conveyed adequately without each side of the partnership saying and interpreting it correctly. There are even regional “meta rules”, or principle agreements, among bridge players that play similar systems locally. This prevents issues from arising in bidding scenarios that a new partnership has not discussed. </w:t>
      </w: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r w:rsidRPr="008124BA">
        <w:rPr>
          <w:rFonts w:ascii="Berlin Sans FB" w:hAnsi="Berlin Sans FB" w:cs="Andalus"/>
          <w:sz w:val="20"/>
        </w:rPr>
        <w:t xml:space="preserve">The need for artificiality is the more “debatable” aspect of bidding, even though it is just as essential as convention. Artificiality occurs primarily in areas where the “natural” occurrence is one or both of </w:t>
      </w:r>
    </w:p>
    <w:p w:rsidR="008124BA" w:rsidRPr="008124BA" w:rsidRDefault="008124BA" w:rsidP="008124BA">
      <w:pPr>
        <w:pStyle w:val="ListBullet"/>
        <w:numPr>
          <w:ilvl w:val="0"/>
          <w:numId w:val="2"/>
        </w:numPr>
        <w:spacing w:before="100" w:beforeAutospacing="1" w:after="100" w:afterAutospacing="1" w:line="240" w:lineRule="auto"/>
        <w:rPr>
          <w:rFonts w:ascii="Berlin Sans FB" w:hAnsi="Berlin Sans FB" w:cs="Andalus"/>
          <w:sz w:val="20"/>
        </w:rPr>
      </w:pPr>
      <w:r w:rsidRPr="008124BA">
        <w:rPr>
          <w:rFonts w:ascii="Berlin Sans FB" w:hAnsi="Berlin Sans FB" w:cs="Andalus"/>
          <w:sz w:val="20"/>
        </w:rPr>
        <w:t>Infrequent</w:t>
      </w:r>
    </w:p>
    <w:p w:rsidR="008124BA" w:rsidRPr="008124BA" w:rsidRDefault="008124BA" w:rsidP="008124BA">
      <w:pPr>
        <w:pStyle w:val="ListBullet"/>
        <w:numPr>
          <w:ilvl w:val="0"/>
          <w:numId w:val="2"/>
        </w:numPr>
        <w:spacing w:before="100" w:beforeAutospacing="1" w:after="100" w:afterAutospacing="1" w:line="240" w:lineRule="auto"/>
        <w:rPr>
          <w:rFonts w:ascii="Berlin Sans FB" w:hAnsi="Berlin Sans FB" w:cs="Andalus"/>
          <w:sz w:val="20"/>
        </w:rPr>
      </w:pPr>
      <w:r w:rsidRPr="008124BA">
        <w:rPr>
          <w:rFonts w:ascii="Berlin Sans FB" w:hAnsi="Berlin Sans FB" w:cs="Andalus"/>
          <w:sz w:val="20"/>
        </w:rPr>
        <w:t>Not profitable</w:t>
      </w:r>
    </w:p>
    <w:p w:rsidR="008124BA" w:rsidRPr="008124BA" w:rsidRDefault="008124BA" w:rsidP="008124BA">
      <w:pPr>
        <w:pStyle w:val="ListBullet"/>
        <w:numPr>
          <w:ilvl w:val="0"/>
          <w:numId w:val="0"/>
        </w:numPr>
        <w:spacing w:before="100" w:beforeAutospacing="1" w:after="100" w:afterAutospacing="1" w:line="240" w:lineRule="auto"/>
        <w:ind w:left="1440"/>
        <w:rPr>
          <w:rFonts w:ascii="Berlin Sans FB" w:hAnsi="Berlin Sans FB" w:cs="Andalus"/>
          <w:sz w:val="20"/>
        </w:rPr>
      </w:pP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r w:rsidRPr="008124BA">
        <w:rPr>
          <w:rFonts w:ascii="Berlin Sans FB" w:hAnsi="Berlin Sans FB" w:cs="Andalus"/>
          <w:sz w:val="20"/>
        </w:rPr>
        <w:t xml:space="preserve">The nearly universal application of </w:t>
      </w:r>
      <w:proofErr w:type="spellStart"/>
      <w:r w:rsidRPr="008124BA">
        <w:rPr>
          <w:rFonts w:ascii="Berlin Sans FB" w:hAnsi="Berlin Sans FB" w:cs="Andalus"/>
          <w:sz w:val="20"/>
        </w:rPr>
        <w:t>Stayman</w:t>
      </w:r>
      <w:proofErr w:type="spellEnd"/>
      <w:r w:rsidRPr="008124BA">
        <w:rPr>
          <w:rFonts w:ascii="Berlin Sans FB" w:hAnsi="Berlin Sans FB" w:cs="Andalus"/>
          <w:sz w:val="20"/>
        </w:rPr>
        <w:t xml:space="preserve"> is a direct result from the low frequency of needing to play in 2</w:t>
      </w:r>
      <w:r w:rsidRPr="008124BA">
        <w:rPr>
          <w:rFonts w:ascii="Arial" w:hAnsi="Arial" w:cs="Arial"/>
          <w:sz w:val="20"/>
        </w:rPr>
        <w:t>♣</w:t>
      </w:r>
      <w:r w:rsidRPr="008124BA">
        <w:rPr>
          <w:rFonts w:ascii="Berlin Sans FB" w:hAnsi="Berlin Sans FB" w:cs="Andalus"/>
          <w:sz w:val="20"/>
        </w:rPr>
        <w:t xml:space="preserve"> after a 1N opening, in addition to the low gain of bidding 2</w:t>
      </w:r>
      <w:r w:rsidRPr="008124BA">
        <w:rPr>
          <w:rFonts w:ascii="Arial" w:hAnsi="Arial" w:cs="Arial"/>
          <w:sz w:val="20"/>
        </w:rPr>
        <w:t>♣</w:t>
      </w:r>
      <w:r w:rsidRPr="008124BA">
        <w:rPr>
          <w:rFonts w:ascii="Berlin Sans FB" w:hAnsi="Berlin Sans FB" w:cs="Andalus"/>
          <w:sz w:val="20"/>
        </w:rPr>
        <w:t xml:space="preserve">. In similar fashion, takeout doubles are an improvement upon penalty doubles. Low level penalties are not as frequent as hands with shortness in the opposition’s suit. Plus, alternative routes to acquiring penalties exist with takeout doubles. This negates the potential losses associated with not playing direct penalty doubles. </w:t>
      </w: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r w:rsidRPr="008124BA">
        <w:rPr>
          <w:rFonts w:ascii="Berlin Sans FB" w:hAnsi="Berlin Sans FB" w:cs="Andalus"/>
          <w:sz w:val="20"/>
        </w:rPr>
        <w:t xml:space="preserve">More specifically, the question of where to apply artificial calls is answered by comparing the gain/loss ratios and consequences of applying various meanings to a bid. For example, how often will I gain by playing a strong </w:t>
      </w:r>
      <w:r w:rsidRPr="008124BA">
        <w:rPr>
          <w:rFonts w:ascii="Arial" w:hAnsi="Arial" w:cs="Arial"/>
          <w:sz w:val="20"/>
        </w:rPr>
        <w:t>♣</w:t>
      </w:r>
      <w:r w:rsidRPr="008124BA">
        <w:rPr>
          <w:rFonts w:ascii="Berlin Sans FB" w:hAnsi="Berlin Sans FB" w:cs="Andalus"/>
          <w:sz w:val="20"/>
        </w:rPr>
        <w:t xml:space="preserve"> as opposed to a natural 1</w:t>
      </w:r>
      <w:r w:rsidRPr="008124BA">
        <w:rPr>
          <w:rFonts w:ascii="Arial" w:hAnsi="Arial" w:cs="Arial"/>
          <w:sz w:val="20"/>
        </w:rPr>
        <w:t>♣</w:t>
      </w:r>
      <w:r w:rsidRPr="008124BA">
        <w:rPr>
          <w:rFonts w:ascii="Berlin Sans FB" w:hAnsi="Berlin Sans FB" w:cs="Andalus"/>
          <w:sz w:val="20"/>
        </w:rPr>
        <w:t>? Determining this mathematically would take thousands of simulations of not just the alternatives for 1</w:t>
      </w:r>
      <w:r w:rsidRPr="008124BA">
        <w:rPr>
          <w:rFonts w:ascii="Arial" w:hAnsi="Arial" w:cs="Arial"/>
          <w:sz w:val="20"/>
        </w:rPr>
        <w:t>♣</w:t>
      </w:r>
      <w:r w:rsidRPr="008124BA">
        <w:rPr>
          <w:rFonts w:ascii="Berlin Sans FB" w:hAnsi="Berlin Sans FB" w:cs="Andalus"/>
          <w:sz w:val="20"/>
        </w:rPr>
        <w:t>, but the consequentially limited 1</w:t>
      </w:r>
      <w:r w:rsidRPr="008124BA">
        <w:rPr>
          <w:rFonts w:ascii="Arial" w:hAnsi="Arial" w:cs="Arial"/>
          <w:sz w:val="20"/>
        </w:rPr>
        <w:t>♦</w:t>
      </w:r>
      <w:r w:rsidRPr="008124BA">
        <w:rPr>
          <w:rFonts w:ascii="Berlin Sans FB" w:hAnsi="Berlin Sans FB" w:cs="Andalus"/>
          <w:sz w:val="20"/>
        </w:rPr>
        <w:t>/</w:t>
      </w:r>
      <w:r w:rsidRPr="008124BA">
        <w:rPr>
          <w:rFonts w:ascii="Arial" w:hAnsi="Arial" w:cs="Arial"/>
          <w:sz w:val="20"/>
        </w:rPr>
        <w:t>♥</w:t>
      </w:r>
      <w:r w:rsidRPr="008124BA">
        <w:rPr>
          <w:rFonts w:ascii="Berlin Sans FB" w:hAnsi="Berlin Sans FB" w:cs="Andalus"/>
          <w:sz w:val="20"/>
        </w:rPr>
        <w:t>/</w:t>
      </w:r>
      <w:r w:rsidRPr="008124BA">
        <w:rPr>
          <w:rFonts w:ascii="Arial" w:hAnsi="Arial" w:cs="Arial"/>
          <w:sz w:val="20"/>
        </w:rPr>
        <w:t>♠</w:t>
      </w:r>
      <w:r w:rsidRPr="008124BA">
        <w:rPr>
          <w:rFonts w:ascii="Berlin Sans FB" w:hAnsi="Berlin Sans FB" w:cs="Andalus"/>
          <w:sz w:val="20"/>
        </w:rPr>
        <w:t xml:space="preserve"> openings.</w:t>
      </w: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r w:rsidRPr="008124BA">
        <w:rPr>
          <w:rFonts w:ascii="Berlin Sans FB" w:hAnsi="Berlin Sans FB" w:cs="Andalus"/>
          <w:sz w:val="20"/>
        </w:rPr>
        <w:t>The complex interrelatedness of all the calls in the bidding sways most teachers/authors to recommend against quickly adding conventional/artificial agreements. In addition to the potential memory strain, there are other areas of the entire bidding system that may be negatively affected AND UNNOTICED by the aspiring bridge students wanting to adopt these methods.  However, if a partnership can adequately memorize and identify the cause and effect of artificiality, then it should be applied where appropriate*</w:t>
      </w:r>
      <w:r>
        <w:rPr>
          <w:rFonts w:ascii="Berlin Sans FB" w:hAnsi="Berlin Sans FB" w:cs="Andalus"/>
          <w:sz w:val="20"/>
        </w:rPr>
        <w:t>*</w:t>
      </w:r>
      <w:r w:rsidRPr="008124BA">
        <w:rPr>
          <w:rFonts w:ascii="Berlin Sans FB" w:hAnsi="Berlin Sans FB" w:cs="Andalus"/>
          <w:sz w:val="20"/>
        </w:rPr>
        <w:t>.</w:t>
      </w:r>
    </w:p>
    <w:p w:rsidR="008124BA" w:rsidRP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p>
    <w:p w:rsid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p>
    <w:p w:rsid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p>
    <w:p w:rsidR="008124BA" w:rsidRDefault="008124BA" w:rsidP="008124BA">
      <w:pPr>
        <w:pStyle w:val="ListBullet"/>
        <w:numPr>
          <w:ilvl w:val="0"/>
          <w:numId w:val="0"/>
        </w:numPr>
        <w:spacing w:before="100" w:beforeAutospacing="1" w:after="100" w:afterAutospacing="1" w:line="240" w:lineRule="auto"/>
        <w:ind w:left="720"/>
        <w:rPr>
          <w:rFonts w:ascii="Berlin Sans FB" w:hAnsi="Berlin Sans FB" w:cs="Andalus"/>
          <w:sz w:val="20"/>
        </w:rPr>
      </w:pPr>
    </w:p>
    <w:p w:rsidR="008124BA" w:rsidRPr="008124BA" w:rsidRDefault="008124BA" w:rsidP="008124BA">
      <w:pPr>
        <w:pStyle w:val="ListBullet"/>
        <w:numPr>
          <w:ilvl w:val="0"/>
          <w:numId w:val="0"/>
        </w:numPr>
        <w:spacing w:before="100" w:beforeAutospacing="1" w:after="100" w:afterAutospacing="1" w:line="240" w:lineRule="auto"/>
        <w:ind w:left="1080"/>
        <w:rPr>
          <w:rFonts w:ascii="Berlin Sans FB" w:hAnsi="Berlin Sans FB" w:cs="Andalus"/>
          <w:sz w:val="20"/>
        </w:rPr>
      </w:pPr>
      <w:r>
        <w:rPr>
          <w:rFonts w:ascii="Berlin Sans FB" w:hAnsi="Berlin Sans FB" w:cs="Andalus"/>
          <w:sz w:val="20"/>
        </w:rPr>
        <w:t>** “Appropriate”</w:t>
      </w:r>
      <w:r w:rsidRPr="008124BA">
        <w:rPr>
          <w:rFonts w:ascii="Berlin Sans FB" w:hAnsi="Berlin Sans FB" w:cs="Andalus"/>
          <w:sz w:val="20"/>
        </w:rPr>
        <w:t xml:space="preserve"> takes into account other significant factors, including vulnerability, opponents, state of match, hand evaluation, and so on.</w:t>
      </w:r>
    </w:p>
    <w:p w:rsidR="00BC2CFA" w:rsidRPr="008124BA" w:rsidRDefault="00BC2CFA">
      <w:pPr>
        <w:rPr>
          <w:rFonts w:ascii="Berlin Sans FB" w:hAnsi="Berlin Sans FB"/>
        </w:rPr>
      </w:pPr>
    </w:p>
    <w:sectPr w:rsidR="00BC2CFA" w:rsidRPr="008124B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080" w:rsidRDefault="006D1080" w:rsidP="00DB1B10">
      <w:pPr>
        <w:spacing w:after="0" w:line="240" w:lineRule="auto"/>
      </w:pPr>
      <w:r>
        <w:separator/>
      </w:r>
    </w:p>
  </w:endnote>
  <w:endnote w:type="continuationSeparator" w:id="0">
    <w:p w:rsidR="006D1080" w:rsidRDefault="006D1080" w:rsidP="00DB1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10" w:rsidRDefault="00DB1B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10" w:rsidRDefault="00DB1B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10" w:rsidRDefault="00DB1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080" w:rsidRDefault="006D1080" w:rsidP="00DB1B10">
      <w:pPr>
        <w:spacing w:after="0" w:line="240" w:lineRule="auto"/>
      </w:pPr>
      <w:r>
        <w:separator/>
      </w:r>
    </w:p>
  </w:footnote>
  <w:footnote w:type="continuationSeparator" w:id="0">
    <w:p w:rsidR="006D1080" w:rsidRDefault="006D1080" w:rsidP="00DB1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10" w:rsidRDefault="00DB1B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85654"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JACK G"/>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10" w:rsidRDefault="00DB1B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85655"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JACK G"/>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10" w:rsidRDefault="00DB1B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85653"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JACK G"/>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641F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BE2825"/>
    <w:multiLevelType w:val="hybridMultilevel"/>
    <w:tmpl w:val="4C4EDC1C"/>
    <w:lvl w:ilvl="0" w:tplc="BAF6DFD4">
      <w:numFmt w:val="bullet"/>
      <w:lvlText w:val=""/>
      <w:lvlJc w:val="left"/>
      <w:pPr>
        <w:ind w:left="1080" w:hanging="360"/>
      </w:pPr>
      <w:rPr>
        <w:rFonts w:ascii="Symbol" w:eastAsiaTheme="minorHAnsi" w:hAnsi="Symbol" w:cs="Andal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6D7485"/>
    <w:multiLevelType w:val="hybridMultilevel"/>
    <w:tmpl w:val="9EEC3362"/>
    <w:lvl w:ilvl="0" w:tplc="86144796">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42039CD"/>
    <w:multiLevelType w:val="hybridMultilevel"/>
    <w:tmpl w:val="664CEC08"/>
    <w:lvl w:ilvl="0" w:tplc="EC504916">
      <w:numFmt w:val="bullet"/>
      <w:lvlText w:val=""/>
      <w:lvlJc w:val="left"/>
      <w:pPr>
        <w:ind w:left="1080" w:hanging="360"/>
      </w:pPr>
      <w:rPr>
        <w:rFonts w:ascii="Symbol" w:eastAsiaTheme="minorHAnsi" w:hAnsi="Symbol" w:cs="Andal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enforcement="1" w:cryptProviderType="rsaFull" w:cryptAlgorithmClass="hash" w:cryptAlgorithmType="typeAny" w:cryptAlgorithmSid="4" w:cryptSpinCount="100000" w:hash="5aJ56z9w9XKy9gwxg919nV1i5Xo=" w:salt="0zxEBMUcX6HcASw/I4JKI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BA"/>
    <w:rsid w:val="006D1080"/>
    <w:rsid w:val="008124BA"/>
    <w:rsid w:val="00BC2CFA"/>
    <w:rsid w:val="00DB1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4BA"/>
    <w:pPr>
      <w:spacing w:before="0" w:beforeAutospacing="0" w:after="200" w:afterAutospacing="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124BA"/>
    <w:pPr>
      <w:numPr>
        <w:numId w:val="1"/>
      </w:numPr>
      <w:contextualSpacing/>
    </w:pPr>
  </w:style>
  <w:style w:type="paragraph" w:styleId="BalloonText">
    <w:name w:val="Balloon Text"/>
    <w:basedOn w:val="Normal"/>
    <w:link w:val="BalloonTextChar"/>
    <w:uiPriority w:val="99"/>
    <w:semiHidden/>
    <w:unhideWhenUsed/>
    <w:rsid w:val="00812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4BA"/>
    <w:rPr>
      <w:rFonts w:ascii="Tahoma" w:hAnsi="Tahoma" w:cs="Tahoma"/>
      <w:sz w:val="16"/>
      <w:szCs w:val="16"/>
    </w:rPr>
  </w:style>
  <w:style w:type="paragraph" w:styleId="Header">
    <w:name w:val="header"/>
    <w:basedOn w:val="Normal"/>
    <w:link w:val="HeaderChar"/>
    <w:uiPriority w:val="99"/>
    <w:unhideWhenUsed/>
    <w:rsid w:val="00DB1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B10"/>
  </w:style>
  <w:style w:type="paragraph" w:styleId="Footer">
    <w:name w:val="footer"/>
    <w:basedOn w:val="Normal"/>
    <w:link w:val="FooterChar"/>
    <w:uiPriority w:val="99"/>
    <w:unhideWhenUsed/>
    <w:rsid w:val="00DB1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B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4BA"/>
    <w:pPr>
      <w:spacing w:before="0" w:beforeAutospacing="0" w:after="200" w:afterAutospacing="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124BA"/>
    <w:pPr>
      <w:numPr>
        <w:numId w:val="1"/>
      </w:numPr>
      <w:contextualSpacing/>
    </w:pPr>
  </w:style>
  <w:style w:type="paragraph" w:styleId="BalloonText">
    <w:name w:val="Balloon Text"/>
    <w:basedOn w:val="Normal"/>
    <w:link w:val="BalloonTextChar"/>
    <w:uiPriority w:val="99"/>
    <w:semiHidden/>
    <w:unhideWhenUsed/>
    <w:rsid w:val="00812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4BA"/>
    <w:rPr>
      <w:rFonts w:ascii="Tahoma" w:hAnsi="Tahoma" w:cs="Tahoma"/>
      <w:sz w:val="16"/>
      <w:szCs w:val="16"/>
    </w:rPr>
  </w:style>
  <w:style w:type="paragraph" w:styleId="Header">
    <w:name w:val="header"/>
    <w:basedOn w:val="Normal"/>
    <w:link w:val="HeaderChar"/>
    <w:uiPriority w:val="99"/>
    <w:unhideWhenUsed/>
    <w:rsid w:val="00DB1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B10"/>
  </w:style>
  <w:style w:type="paragraph" w:styleId="Footer">
    <w:name w:val="footer"/>
    <w:basedOn w:val="Normal"/>
    <w:link w:val="FooterChar"/>
    <w:uiPriority w:val="99"/>
    <w:unhideWhenUsed/>
    <w:rsid w:val="00DB1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479</Words>
  <Characters>2731</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2016-07-13T23:26:00Z</dcterms:created>
  <dcterms:modified xsi:type="dcterms:W3CDTF">2016-08-04T15:26:00Z</dcterms:modified>
</cp:coreProperties>
</file>